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2A" w:rsidRPr="009B1C2A" w:rsidRDefault="009B1C2A" w:rsidP="009B1C2A">
      <w:pPr>
        <w:ind w:firstLineChars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9B1C2A">
        <w:rPr>
          <w:rFonts w:ascii="方正小标宋_GBK" w:eastAsia="方正小标宋_GBK" w:hint="eastAsia"/>
          <w:sz w:val="44"/>
          <w:szCs w:val="44"/>
        </w:rPr>
        <w:t>《中宣部关于开展文娱领域综合治理工作的通知》解读</w:t>
      </w:r>
    </w:p>
    <w:p w:rsidR="009B1C2A" w:rsidRDefault="009B1C2A" w:rsidP="009B1C2A">
      <w:pPr>
        <w:ind w:firstLine="640"/>
      </w:pP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月，中央宣传部印发《关于开展文娱领域综合治理工作的通知》</w:t>
      </w:r>
      <w:r w:rsidRPr="009B1C2A">
        <w:rPr>
          <w:rFonts w:hint="eastAsia"/>
        </w:rPr>
        <w:t>（以下简称《通知》）</w:t>
      </w:r>
      <w:r>
        <w:rPr>
          <w:rFonts w:hint="eastAsia"/>
        </w:rPr>
        <w:t>，</w:t>
      </w:r>
      <w:r w:rsidRPr="009B1C2A">
        <w:rPr>
          <w:rFonts w:hint="eastAsia"/>
        </w:rPr>
        <w:t>针对流量至上、“饭圈”乱象、违法失德等文娱领域突出问题部署综合治理工作。拟通过一段时间的集中治理并建立长效工作机制，规范市场秩序，遏制行业不良倾向，廓清文娱领域风气。《通知》</w:t>
      </w:r>
      <w:r>
        <w:rPr>
          <w:rFonts w:hint="eastAsia"/>
        </w:rPr>
        <w:t>从规范市场秩序、压实平台责任、严格内容监管、强化行业管理、加强教育培训、完善制度保障、加强舆论宣传等</w:t>
      </w:r>
      <w:r>
        <w:rPr>
          <w:rFonts w:hint="eastAsia"/>
        </w:rPr>
        <w:t>7</w:t>
      </w:r>
      <w:r>
        <w:rPr>
          <w:rFonts w:hint="eastAsia"/>
        </w:rPr>
        <w:t>个方面提出了具体要求和工作措施。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指出，近年来，文娱行业在满足人民群众多样化文化需求、推动经济增长等方面发挥了积极作用。有关主管部门就深化影视业综合改革、促进影视业健康发展、强化网络内容监管等采取了一系列措施，对明星天价片酬、“阴阳合同”、偷逃税、低俗信息炒作和劣迹艺人管理等不断加大整治力度，取得一定成效。但是，随着文娱产业迅速发展，天价片酬、“阴阳合同”、偷逃税等问题有以新方式新手段死灰复燃迹象，流量至上、畸形审美、“饭圈”乱象、“耽改”之风等新情况新问题迭出，一些从业人员政治素养不高、法律意识淡薄、道德观念滑坡，违法失德言行时有发生，对社会特别是青少年产生不良影响，严重污染社会风气，人民群众反映强烈。为此，中央宣传部会同有关部门近期集中开展文娱领域综合治理工作。《通知》明确，坚持以社会主义核心价</w:t>
      </w:r>
      <w:r>
        <w:rPr>
          <w:rFonts w:hint="eastAsia"/>
        </w:rPr>
        <w:lastRenderedPageBreak/>
        <w:t>值观为引领，坚持问题导向、综合施策、标本兼治，有效遏制行业不良倾向，廓清文娱领域风气。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《通知》要求规范市场秩序。强调企业社会责任，鼓励资本与产业良性互动。遏制资本不良牟利，抵制天价片酬，合理配置成本比例，严厉查处偷逃税行为，有效维护市场秩序。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《通知》要求压实平台责任。打击流量至上，维护行业良好生态。查处一批牟取不当利益的营销号。打击各种形式的流量造假行为。严格各</w:t>
      </w:r>
      <w:proofErr w:type="gramStart"/>
      <w:r>
        <w:rPr>
          <w:rFonts w:hint="eastAsia"/>
        </w:rPr>
        <w:t>类热搜榜单</w:t>
      </w:r>
      <w:proofErr w:type="gramEnd"/>
      <w:r>
        <w:rPr>
          <w:rFonts w:hint="eastAsia"/>
        </w:rPr>
        <w:t>管理，优化内容推荐算法。加强明星粉丝团、后援会账号的管理。切实履行监看责任和管理责任，严厉</w:t>
      </w:r>
      <w:proofErr w:type="gramStart"/>
      <w:r>
        <w:rPr>
          <w:rFonts w:hint="eastAsia"/>
        </w:rPr>
        <w:t>处置互撕信息</w:t>
      </w:r>
      <w:proofErr w:type="gramEnd"/>
      <w:r>
        <w:rPr>
          <w:rFonts w:hint="eastAsia"/>
        </w:rPr>
        <w:t>。对发现不及时、管理不到位的网站平台按照相关规定进行处罚。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《通知》要求严格内容监管。严管综艺节目，健全审批机制。严禁选用未成年人参加</w:t>
      </w:r>
      <w:proofErr w:type="gramStart"/>
      <w:r>
        <w:rPr>
          <w:rFonts w:hint="eastAsia"/>
        </w:rPr>
        <w:t>选秀类节目</w:t>
      </w:r>
      <w:proofErr w:type="gramEnd"/>
      <w:r>
        <w:rPr>
          <w:rFonts w:hint="eastAsia"/>
        </w:rPr>
        <w:t>。持续开展网络综艺节目专项整治工作。树立正确审美观，加强文艺创作审美导向把关。加强游戏内容审核把关，提升游戏文化内涵。压实游戏平台主体责任，推进防沉迷系统接入，完善实名验证技术。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《通知》要求进一步强化行业管理。加大对违法失德艺人的惩处，禁止劣迹艺人转移阵地复出。规范明星广告代言。提高准入门槛，规范艺人经纪。严格执行演出经纪人资格认证制度。研究制定演员经纪机构</w:t>
      </w:r>
      <w:bookmarkStart w:id="0" w:name="_GoBack"/>
      <w:bookmarkEnd w:id="0"/>
      <w:r>
        <w:rPr>
          <w:rFonts w:hint="eastAsia"/>
        </w:rPr>
        <w:t>、网络表演经纪机构等管理办法。发挥行业协会作用，强化职业道德委员会职能，积极开展道德评议，及时对违法失德人员和纵容违法失德行为的</w:t>
      </w:r>
      <w:r>
        <w:rPr>
          <w:rFonts w:hint="eastAsia"/>
        </w:rPr>
        <w:lastRenderedPageBreak/>
        <w:t>经纪公司、明星工作室进行行业抵制和联合惩戒。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《通知》指出，要加强教育培训。丰富从业人员的教育培训手段，加强思想政治引领，</w:t>
      </w:r>
      <w:proofErr w:type="gramStart"/>
      <w:r>
        <w:rPr>
          <w:rFonts w:hint="eastAsia"/>
        </w:rPr>
        <w:t>明确红</w:t>
      </w:r>
      <w:proofErr w:type="gramEnd"/>
      <w:r>
        <w:rPr>
          <w:rFonts w:hint="eastAsia"/>
        </w:rPr>
        <w:t>线底线。加强青少年思想道德教育，学校、家庭、社会形成合力，引导树立正确价值观。禁止义务教育阶段未成年人参加偶像团组和线下应援活动。加强青少年普法教育，强化“饭圈”集资乱象、</w:t>
      </w:r>
      <w:proofErr w:type="gramStart"/>
      <w:r>
        <w:rPr>
          <w:rFonts w:hint="eastAsia"/>
        </w:rPr>
        <w:t>不良网贷等</w:t>
      </w:r>
      <w:proofErr w:type="gramEnd"/>
      <w:r>
        <w:rPr>
          <w:rFonts w:hint="eastAsia"/>
        </w:rPr>
        <w:t>负面案例的警示教育作用。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《通知》指出，要完善制度保障。健全法律法规，推进依法管理。研究制定粉丝社群管理、经纪公司管理、直播管理、演艺明星金融产品和游戏产品代言管理等监管规则。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《通知》指出，要加强舆论宣传。加强正面宣传，引导从业人员崇德尚艺。强化舆论监督，营造良好环境。发挥文艺批评作用，引导正确审美。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《通知》强调，要强化组织领导。各级党委（党组）要切实提高政治站位，深刻认识“塑造什么样的未来人”的重要性，严格落实主管和属地责任，将文娱领域综合治理工作纳入意识形态工作责任制、列入重要议事日程，结合实际细化完善工作措施，确保各项任务落实到位。加强工作联动，构建多领域、跨部门协同合作的工作格局。</w:t>
      </w:r>
    </w:p>
    <w:p w:rsidR="009B1C2A" w:rsidRDefault="009B1C2A" w:rsidP="009B1C2A">
      <w:pPr>
        <w:ind w:firstLine="640"/>
        <w:rPr>
          <w:rFonts w:hint="eastAsia"/>
        </w:rPr>
      </w:pPr>
      <w:r>
        <w:rPr>
          <w:rFonts w:hint="eastAsia"/>
        </w:rPr>
        <w:t>同时，中央宣传部还就进一步持续整治“饭圈”乱象作了专门部署。从强化综艺节目管理、强化榜单产品管理、强化粉丝消费管理、强化粉丝互动管理、强化明星经纪管理、强化明星自我约束、打击违法违规行为、限制未成年人非理性追星等八个方面着力，坚决抵制造</w:t>
      </w:r>
      <w:proofErr w:type="gramStart"/>
      <w:r>
        <w:rPr>
          <w:rFonts w:hint="eastAsia"/>
        </w:rPr>
        <w:t>星炒星</w:t>
      </w:r>
      <w:proofErr w:type="gramEnd"/>
      <w:r>
        <w:rPr>
          <w:rFonts w:hint="eastAsia"/>
        </w:rPr>
        <w:t>、泛娱乐化等不</w:t>
      </w:r>
      <w:r>
        <w:rPr>
          <w:rFonts w:hint="eastAsia"/>
        </w:rPr>
        <w:lastRenderedPageBreak/>
        <w:t>良倾向和流量至上、拜金主义等畸形价值观，探索构建“饭圈”管理长效机制，引导青少年健康成长。</w:t>
      </w:r>
    </w:p>
    <w:p w:rsidR="00957865" w:rsidRPr="009B1C2A" w:rsidRDefault="00957865">
      <w:pPr>
        <w:ind w:firstLine="640"/>
      </w:pPr>
    </w:p>
    <w:sectPr w:rsidR="00957865" w:rsidRPr="009B1C2A" w:rsidSect="009B1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A7" w:rsidRDefault="00A83FA7" w:rsidP="009B1C2A">
      <w:pPr>
        <w:spacing w:line="240" w:lineRule="auto"/>
        <w:ind w:firstLine="640"/>
      </w:pPr>
      <w:r>
        <w:separator/>
      </w:r>
    </w:p>
  </w:endnote>
  <w:endnote w:type="continuationSeparator" w:id="0">
    <w:p w:rsidR="00A83FA7" w:rsidRDefault="00A83FA7" w:rsidP="009B1C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603376"/>
      <w:docPartObj>
        <w:docPartGallery w:val="Page Numbers (Bottom of Page)"/>
        <w:docPartUnique/>
      </w:docPartObj>
    </w:sdtPr>
    <w:sdtEndPr>
      <w:rPr>
        <w:rFonts w:ascii="方正仿宋_GBK" w:hint="eastAsia"/>
        <w:sz w:val="28"/>
        <w:szCs w:val="28"/>
      </w:rPr>
    </w:sdtEndPr>
    <w:sdtContent>
      <w:p w:rsidR="009B1C2A" w:rsidRPr="009B1C2A" w:rsidRDefault="009B1C2A" w:rsidP="009B1C2A">
        <w:pPr>
          <w:pStyle w:val="a5"/>
          <w:ind w:firstLine="360"/>
          <w:rPr>
            <w:rFonts w:ascii="方正仿宋_GBK" w:hint="eastAsia"/>
            <w:sz w:val="28"/>
            <w:szCs w:val="28"/>
          </w:rPr>
        </w:pPr>
        <w:r w:rsidRPr="009B1C2A">
          <w:rPr>
            <w:rFonts w:ascii="方正仿宋_GBK" w:hint="eastAsia"/>
            <w:sz w:val="28"/>
            <w:szCs w:val="28"/>
          </w:rPr>
          <w:fldChar w:fldCharType="begin"/>
        </w:r>
        <w:r w:rsidRPr="009B1C2A">
          <w:rPr>
            <w:rFonts w:ascii="方正仿宋_GBK" w:hint="eastAsia"/>
            <w:sz w:val="28"/>
            <w:szCs w:val="28"/>
          </w:rPr>
          <w:instrText>PAGE   \* MERGEFORMAT</w:instrText>
        </w:r>
        <w:r w:rsidRPr="009B1C2A">
          <w:rPr>
            <w:rFonts w:ascii="方正仿宋_GBK" w:hint="eastAsia"/>
            <w:sz w:val="28"/>
            <w:szCs w:val="28"/>
          </w:rPr>
          <w:fldChar w:fldCharType="separate"/>
        </w:r>
        <w:r w:rsidRPr="009B1C2A">
          <w:rPr>
            <w:rFonts w:ascii="方正仿宋_GBK" w:hint="eastAsia"/>
            <w:sz w:val="28"/>
            <w:szCs w:val="28"/>
            <w:lang w:val="zh-CN"/>
          </w:rPr>
          <w:t>2</w:t>
        </w:r>
        <w:r w:rsidRPr="009B1C2A">
          <w:rPr>
            <w:rFonts w:ascii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6658"/>
      <w:docPartObj>
        <w:docPartGallery w:val="Page Numbers (Bottom of Page)"/>
        <w:docPartUnique/>
      </w:docPartObj>
    </w:sdtPr>
    <w:sdtEndPr>
      <w:rPr>
        <w:rFonts w:ascii="方正仿宋_GBK" w:hint="eastAsia"/>
        <w:sz w:val="28"/>
        <w:szCs w:val="28"/>
      </w:rPr>
    </w:sdtEndPr>
    <w:sdtContent>
      <w:p w:rsidR="009B1C2A" w:rsidRPr="009B1C2A" w:rsidRDefault="009B1C2A" w:rsidP="009B1C2A">
        <w:pPr>
          <w:pStyle w:val="a5"/>
          <w:ind w:firstLine="360"/>
          <w:jc w:val="right"/>
          <w:rPr>
            <w:rFonts w:ascii="方正仿宋_GBK" w:hint="eastAsia"/>
            <w:sz w:val="28"/>
            <w:szCs w:val="28"/>
          </w:rPr>
        </w:pPr>
        <w:r w:rsidRPr="009B1C2A">
          <w:rPr>
            <w:rFonts w:ascii="方正仿宋_GBK" w:hint="eastAsia"/>
            <w:sz w:val="28"/>
            <w:szCs w:val="28"/>
          </w:rPr>
          <w:fldChar w:fldCharType="begin"/>
        </w:r>
        <w:r w:rsidRPr="009B1C2A">
          <w:rPr>
            <w:rFonts w:ascii="方正仿宋_GBK" w:hint="eastAsia"/>
            <w:sz w:val="28"/>
            <w:szCs w:val="28"/>
          </w:rPr>
          <w:instrText>PAGE   \* MERGEFORMAT</w:instrText>
        </w:r>
        <w:r w:rsidRPr="009B1C2A">
          <w:rPr>
            <w:rFonts w:ascii="方正仿宋_GBK" w:hint="eastAsia"/>
            <w:sz w:val="28"/>
            <w:szCs w:val="28"/>
          </w:rPr>
          <w:fldChar w:fldCharType="separate"/>
        </w:r>
        <w:r w:rsidRPr="009B1C2A">
          <w:rPr>
            <w:rFonts w:ascii="方正仿宋_GBK" w:hint="eastAsia"/>
            <w:sz w:val="28"/>
            <w:szCs w:val="28"/>
            <w:lang w:val="zh-CN"/>
          </w:rPr>
          <w:t>2</w:t>
        </w:r>
        <w:r w:rsidRPr="009B1C2A">
          <w:rPr>
            <w:rFonts w:ascii="方正仿宋_GBK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2A" w:rsidRDefault="009B1C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A7" w:rsidRDefault="00A83FA7" w:rsidP="009B1C2A">
      <w:pPr>
        <w:spacing w:line="240" w:lineRule="auto"/>
        <w:ind w:firstLine="640"/>
      </w:pPr>
      <w:r>
        <w:separator/>
      </w:r>
    </w:p>
  </w:footnote>
  <w:footnote w:type="continuationSeparator" w:id="0">
    <w:p w:rsidR="00A83FA7" w:rsidRDefault="00A83FA7" w:rsidP="009B1C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2A" w:rsidRDefault="009B1C2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2A" w:rsidRDefault="009B1C2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2A" w:rsidRDefault="009B1C2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2A"/>
    <w:rsid w:val="002328BF"/>
    <w:rsid w:val="00331046"/>
    <w:rsid w:val="004F5112"/>
    <w:rsid w:val="0071345D"/>
    <w:rsid w:val="007553C8"/>
    <w:rsid w:val="00957865"/>
    <w:rsid w:val="009B1C2A"/>
    <w:rsid w:val="00A83FA7"/>
    <w:rsid w:val="00C82984"/>
    <w:rsid w:val="00E4201F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FD4F"/>
  <w15:chartTrackingRefBased/>
  <w15:docId w15:val="{A52E8BD8-E461-4719-BCBE-8E7330C7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C8"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53C8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553C8"/>
    <w:pPr>
      <w:keepNext/>
      <w:keepLines/>
      <w:outlineLvl w:val="1"/>
    </w:pPr>
    <w:rPr>
      <w:rFonts w:asciiTheme="majorHAnsi" w:eastAsia="方正楷体_GBK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553C8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C8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553C8"/>
    <w:rPr>
      <w:rFonts w:asciiTheme="majorHAnsi" w:eastAsia="方正楷体_GBK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553C8"/>
    <w:rPr>
      <w:rFonts w:ascii="Times New Roman" w:eastAsia="方正仿宋_GBK" w:hAnsi="Times New Roman"/>
      <w:b/>
      <w:bCs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1345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45D"/>
    <w:rPr>
      <w:rFonts w:ascii="Times New Roman" w:eastAsia="方正仿宋_GBK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C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C2A"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">
      <a:majorFont>
        <a:latin typeface="Times New Roman"/>
        <a:ea typeface="方正小标宋_GBK"/>
        <a:cs typeface=""/>
      </a:majorFont>
      <a:minorFont>
        <a:latin typeface="Times New Roman"/>
        <a:ea typeface="方正仿宋_GBK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 yf</dc:creator>
  <cp:keywords/>
  <dc:description/>
  <cp:lastModifiedBy>sf yf</cp:lastModifiedBy>
  <cp:revision>1</cp:revision>
  <dcterms:created xsi:type="dcterms:W3CDTF">2021-12-30T01:20:00Z</dcterms:created>
  <dcterms:modified xsi:type="dcterms:W3CDTF">2021-12-30T01:25:00Z</dcterms:modified>
</cp:coreProperties>
</file>